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3"/>
        <w:gridCol w:w="1937"/>
      </w:tblGrid>
      <w:tr w:rsidR="00A413F8"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6"/>
                <w:szCs w:val="26"/>
              </w:rPr>
              <w:t>Part 1 - Teaching Project Grading Criteria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Maximum Points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P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Selected a topic and title for the teaching plan and provided description and rationale for selection of the topic.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Clearly articulate the topic and why is was chosen (based on evidence)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P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Provided description and rationale for selection of target audience.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Describe the audience clearly and why they were selected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Included a Learner Assessment Questionnaire (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Appendix</w:t>
            </w:r>
            <w:r>
              <w:rPr>
                <w:rFonts w:ascii="Arial" w:hAnsi="Arial" w:cs="Arial"/>
                <w:sz w:val="26"/>
                <w:szCs w:val="26"/>
              </w:rPr>
              <w:t xml:space="preserve">) that is crafted based on the section description. </w:t>
            </w:r>
            <w:r w:rsidRPr="00A413F8">
              <w:rPr>
                <w:rFonts w:ascii="Arial" w:hAnsi="Arial" w:cs="Arial"/>
                <w:color w:val="FF0000"/>
                <w:sz w:val="26"/>
                <w:szCs w:val="26"/>
              </w:rPr>
              <w:t xml:space="preserve">Develop a Learner Assessment Questionnaire (include in the </w:t>
            </w:r>
            <w:r w:rsidRPr="00A413F8">
              <w:rPr>
                <w:rFonts w:ascii="Arial" w:hAnsi="Arial" w:cs="Arial"/>
                <w:i/>
                <w:iCs/>
                <w:color w:val="FF0000"/>
                <w:sz w:val="26"/>
                <w:szCs w:val="26"/>
              </w:rPr>
              <w:t>Appendix</w:t>
            </w:r>
            <w:r w:rsidRPr="00A413F8">
              <w:rPr>
                <w:rFonts w:ascii="Arial" w:hAnsi="Arial" w:cs="Arial"/>
                <w:color w:val="FF0000"/>
                <w:sz w:val="26"/>
                <w:szCs w:val="26"/>
              </w:rPr>
              <w:t xml:space="preserve"> of the paper) that includes three sections to assess your audience's learning preferences, learning needs, and learner demographics. You will develop 10 questions for each section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Discussed the questionnaire resources and potential benefits for learner assessment. </w:t>
            </w:r>
            <w:r w:rsidRPr="00A413F8">
              <w:rPr>
                <w:rFonts w:ascii="Arial" w:hAnsi="Arial" w:cs="Arial"/>
                <w:color w:val="FF0000"/>
                <w:sz w:val="26"/>
                <w:szCs w:val="26"/>
              </w:rPr>
              <w:t>In the body of the paper, discuss the resources you used to develop this tool and how this tool will be beneficial in assessing your learners.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Included an overall learner centered goal(s) for the learning activity</w:t>
            </w:r>
            <w:r w:rsidRPr="00A413F8">
              <w:rPr>
                <w:rFonts w:ascii="Arial" w:hAnsi="Arial" w:cs="Arial"/>
                <w:color w:val="FF0000"/>
                <w:sz w:val="26"/>
                <w:szCs w:val="26"/>
              </w:rPr>
              <w:t xml:space="preserve">. Discuss the overall goal(s)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(2) </w:t>
            </w:r>
            <w:r w:rsidRPr="00A413F8">
              <w:rPr>
                <w:rFonts w:ascii="Arial" w:hAnsi="Arial" w:cs="Arial"/>
                <w:color w:val="FF0000"/>
                <w:sz w:val="26"/>
                <w:szCs w:val="26"/>
              </w:rPr>
              <w:t>of the teaching plan. What is it you anticipate the learners will accomplish for your targeted audience? Remember that the goal needs to be learner centered.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Included 3 learning objectives that are student centered, focus on specific cognitive processes, include an action verb according to Bloom’s Taxonomy, and are measurable. </w:t>
            </w:r>
            <w:hyperlink r:id="rId4" w:history="1">
              <w:r w:rsidRPr="0076629D">
                <w:rPr>
                  <w:rStyle w:val="Hyperlink"/>
                  <w:rFonts w:ascii="Arial" w:hAnsi="Arial" w:cs="Arial"/>
                  <w:sz w:val="26"/>
                  <w:szCs w:val="26"/>
                </w:rPr>
                <w:t>http://www.nwlink.com/~donclark/hrd/bloom.html</w:t>
              </w:r>
            </w:hyperlink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 a good resources to review about cognitive processes and if you want to use the action verbs from this resource that is acceptable.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A413F8">
        <w:tblPrEx>
          <w:tblBorders>
            <w:top w:val="none" w:sz="0" w:space="0" w:color="auto"/>
          </w:tblBorders>
        </w:tblPrEx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Followed APA guidelines for writing style, spelling and grammar, and citation of sources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A413F8"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Total: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E5E0CB"/>
            <w:vAlign w:val="center"/>
          </w:tcPr>
          <w:p w:rsidR="00A413F8" w:rsidRDefault="00A413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125</w:t>
            </w:r>
          </w:p>
        </w:tc>
      </w:tr>
    </w:tbl>
    <w:p w:rsidR="000A75B7" w:rsidRDefault="000A75B7"/>
    <w:sectPr w:rsidR="000A75B7" w:rsidSect="000A75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8"/>
    <w:rsid w:val="000A75B7"/>
    <w:rsid w:val="00A413F8"/>
    <w:rsid w:val="00B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DF96E99-9BBF-4C67-9D39-6D177CB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3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wlink.com/~donclark/hrd/blo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UNIVERSITY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ARNDT</dc:creator>
  <cp:keywords/>
  <dc:description/>
  <cp:lastModifiedBy>lea hodges</cp:lastModifiedBy>
  <cp:revision>2</cp:revision>
  <dcterms:created xsi:type="dcterms:W3CDTF">2017-05-26T21:09:00Z</dcterms:created>
  <dcterms:modified xsi:type="dcterms:W3CDTF">2017-05-26T21:09:00Z</dcterms:modified>
</cp:coreProperties>
</file>